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3B88C" w14:textId="77777777" w:rsidR="001A67F6" w:rsidRDefault="001A67F6" w:rsidP="001A67F6">
      <w:pPr>
        <w:pStyle w:val="Head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5E4761" wp14:editId="782D00E4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5943600" cy="1552575"/>
            <wp:effectExtent l="0" t="0" r="0" b="0"/>
            <wp:wrapSquare wrapText="bothSides"/>
            <wp:docPr id="33" name="Picture 33" descr="MyRIACompliance-HORZ-1400X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RIACompliance-HORZ-1400X3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4933D3" w14:textId="77777777" w:rsidR="00FD6BD3" w:rsidRPr="00FD6BD3" w:rsidRDefault="001A67F6" w:rsidP="00FD6BD3">
      <w:pPr>
        <w:autoSpaceDE w:val="0"/>
        <w:autoSpaceDN w:val="0"/>
        <w:adjustRightInd w:val="0"/>
        <w:rPr>
          <w:rFonts w:ascii="Book Antiqua" w:eastAsia="Times New Roman" w:hAnsi="Book Antiqua"/>
          <w:b/>
          <w:i/>
          <w:iCs/>
        </w:rPr>
      </w:pPr>
      <w:r w:rsidRPr="00FD6BD3">
        <w:rPr>
          <w:rFonts w:ascii="Book Antiqua" w:eastAsia="Times New Roman" w:hAnsi="Book Antiqua"/>
          <w:i/>
          <w:iCs/>
        </w:rPr>
        <w:t>The following document is provided to You as a </w:t>
      </w:r>
      <w:r w:rsidRPr="00FD6BD3">
        <w:rPr>
          <w:rFonts w:ascii="Book Antiqua" w:eastAsia="Times New Roman" w:hAnsi="Book Antiqua"/>
          <w:i/>
          <w:iCs/>
          <w:u w:val="single"/>
        </w:rPr>
        <w:t>sample</w:t>
      </w:r>
      <w:r w:rsidRPr="00FD6BD3">
        <w:rPr>
          <w:rFonts w:ascii="Book Antiqua" w:eastAsia="Times New Roman" w:hAnsi="Book Antiqua"/>
          <w:i/>
          <w:iCs/>
        </w:rPr>
        <w:t xml:space="preserve"> only.  Prior to using or implementing this document or any portion thereof, </w:t>
      </w:r>
      <w:proofErr w:type="gramStart"/>
      <w:r w:rsidRPr="00FD6BD3">
        <w:rPr>
          <w:rFonts w:ascii="Book Antiqua" w:eastAsia="Times New Roman" w:hAnsi="Book Antiqua"/>
          <w:i/>
          <w:iCs/>
        </w:rPr>
        <w:t>You</w:t>
      </w:r>
      <w:proofErr w:type="gramEnd"/>
      <w:r w:rsidRPr="00FD6BD3">
        <w:rPr>
          <w:rFonts w:ascii="Book Antiqua" w:eastAsia="Times New Roman" w:hAnsi="Book Antiqua"/>
          <w:i/>
          <w:iCs/>
        </w:rPr>
        <w:t xml:space="preserve"> should tailor the contents, including any highlighted sections, to fit your specific situation and should consult relevant regulatory authorities and/or legal counsel. RIA in a Box and its compliance division (“We”) do not represent or warrant that the contents of the document are suitable for You from a compliance, regulatory, legal, or any other perspective. We shall have no responsibility or liability for your use or non-use of the document or any portion thereof. We are not law firms, investment advisory firms, or CPA firms and do not provide legal advice or opinions.</w:t>
      </w:r>
      <w:r w:rsidRPr="00FD6BD3">
        <w:rPr>
          <w:rFonts w:ascii="Book Antiqua" w:eastAsia="Times New Roman" w:hAnsi="Book Antiqua"/>
          <w:b/>
          <w:i/>
          <w:iCs/>
        </w:rPr>
        <w:t xml:space="preserve"> </w:t>
      </w:r>
      <w:r w:rsidR="00FD6BD3" w:rsidRPr="00FD6BD3">
        <w:rPr>
          <w:rFonts w:ascii="Book Antiqua" w:eastAsia="Times New Roman" w:hAnsi="Book Antiqua"/>
          <w:b/>
          <w:i/>
          <w:iCs/>
        </w:rPr>
        <w:t>Please note that reference to “RIA Name” should be changed to reference your firm name or the firm’s abbreviation used in other portions of your compliance manual.</w:t>
      </w:r>
      <w:bookmarkStart w:id="0" w:name="_GoBack"/>
      <w:bookmarkEnd w:id="0"/>
    </w:p>
    <w:p w14:paraId="0A0BCCC5" w14:textId="4055DE86" w:rsidR="001A67F6" w:rsidRPr="00FD6BD3" w:rsidRDefault="001A67F6" w:rsidP="001A67F6">
      <w:pPr>
        <w:autoSpaceDE w:val="0"/>
        <w:autoSpaceDN w:val="0"/>
        <w:adjustRightInd w:val="0"/>
        <w:rPr>
          <w:rFonts w:ascii="Book Antiqua" w:eastAsia="Times New Roman" w:hAnsi="Book Antiqua"/>
          <w:b/>
          <w:i/>
          <w:iCs/>
        </w:rPr>
      </w:pPr>
    </w:p>
    <w:p w14:paraId="01BB695A" w14:textId="77777777" w:rsidR="001A67F6" w:rsidRPr="00FD6BD3" w:rsidRDefault="001A67F6" w:rsidP="001A67F6">
      <w:pPr>
        <w:pStyle w:val="Header"/>
        <w:rPr>
          <w:rFonts w:ascii="Book Antiqua" w:hAnsi="Book Antiqua"/>
        </w:rPr>
      </w:pPr>
    </w:p>
    <w:p w14:paraId="0DC555A0" w14:textId="77777777" w:rsidR="001A67F6" w:rsidRPr="00FD6BD3" w:rsidRDefault="001A67F6" w:rsidP="001A67F6">
      <w:pPr>
        <w:shd w:val="clear" w:color="auto" w:fill="FFFFFF"/>
        <w:ind w:left="-720"/>
        <w:jc w:val="right"/>
        <w:rPr>
          <w:rStyle w:val="Emphasis"/>
          <w:rFonts w:ascii="Book Antiqua" w:hAnsi="Book Antiqua"/>
        </w:rPr>
      </w:pPr>
      <w:r w:rsidRPr="00FD6BD3">
        <w:rPr>
          <w:rStyle w:val="Emphasis"/>
          <w:rFonts w:ascii="Book Antiqua" w:hAnsi="Book Antiqua"/>
        </w:rPr>
        <w:t>Copyright © 2018 RIA in a Box LLC</w:t>
      </w:r>
    </w:p>
    <w:p w14:paraId="667289E1" w14:textId="77777777" w:rsidR="001A67F6" w:rsidRDefault="001A67F6" w:rsidP="001A67F6">
      <w:pPr>
        <w:shd w:val="clear" w:color="auto" w:fill="FFFFFF"/>
        <w:ind w:left="-720"/>
        <w:jc w:val="right"/>
        <w:rPr>
          <w:i/>
          <w:iCs/>
        </w:rPr>
      </w:pPr>
    </w:p>
    <w:p w14:paraId="53207AC4" w14:textId="77777777" w:rsidR="00864AE4" w:rsidRPr="008D1729" w:rsidRDefault="00864AE4" w:rsidP="008D1729">
      <w:pPr>
        <w:pStyle w:val="Heading1"/>
        <w:pBdr>
          <w:top w:val="thinThickThinSmallGap" w:sz="18" w:space="1" w:color="auto"/>
          <w:left w:val="thinThickThinSmallGap" w:sz="18" w:space="4" w:color="auto"/>
          <w:bottom w:val="thinThickThinSmallGap" w:sz="18" w:space="1" w:color="auto"/>
          <w:right w:val="thinThickThinSmallGap" w:sz="18" w:space="4" w:color="auto"/>
        </w:pBdr>
        <w:shd w:val="clear" w:color="auto" w:fill="C6D9F1"/>
        <w:spacing w:before="0" w:line="240" w:lineRule="auto"/>
        <w:jc w:val="center"/>
        <w:rPr>
          <w:rFonts w:ascii="Book Antiqua" w:eastAsia="Times New Roman" w:hAnsi="Book Antiqua" w:cs="Times New Roman"/>
          <w:b/>
          <w:bCs/>
          <w:color w:val="auto"/>
          <w:szCs w:val="28"/>
        </w:rPr>
      </w:pPr>
      <w:r w:rsidRPr="008D1729">
        <w:rPr>
          <w:rFonts w:ascii="Book Antiqua" w:eastAsia="Times New Roman" w:hAnsi="Book Antiqua" w:cs="Times New Roman"/>
          <w:b/>
          <w:bCs/>
          <w:color w:val="auto"/>
          <w:szCs w:val="28"/>
        </w:rPr>
        <w:t>Disclosure</w:t>
      </w:r>
    </w:p>
    <w:p w14:paraId="20129EFA" w14:textId="77777777" w:rsidR="00864AE4" w:rsidRPr="008D1729" w:rsidRDefault="00864AE4" w:rsidP="00864AE4">
      <w:pPr>
        <w:shd w:val="clear" w:color="auto" w:fill="F9F9F9"/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8D1729">
        <w:rPr>
          <w:rFonts w:ascii="Book Antiqua" w:eastAsia="Times New Roman" w:hAnsi="Book Antiqua" w:cs="Times New Roman"/>
          <w:b/>
          <w:bCs/>
          <w:sz w:val="26"/>
          <w:szCs w:val="26"/>
        </w:rPr>
        <w:t>WARRANTIES &amp; DISCLAIMERS</w:t>
      </w:r>
    </w:p>
    <w:p w14:paraId="05699445" w14:textId="77777777" w:rsidR="00864AE4" w:rsidRPr="00354AC4" w:rsidRDefault="00864AE4" w:rsidP="003A3EF3">
      <w:pPr>
        <w:rPr>
          <w:rFonts w:ascii="Book Antiqua" w:eastAsia="Calibri" w:hAnsi="Book Antiqua" w:cs="Times New Roman"/>
        </w:rPr>
      </w:pPr>
      <w:r w:rsidRPr="00354AC4">
        <w:rPr>
          <w:rFonts w:ascii="Book Antiqua" w:eastAsia="Calibri" w:hAnsi="Book Antiqua" w:cs="Times New Roman"/>
        </w:rPr>
        <w:t>There are no warranties implied.</w:t>
      </w:r>
    </w:p>
    <w:p w14:paraId="3E69DE6D" w14:textId="77777777" w:rsidR="00BE53E1" w:rsidRPr="00354AC4" w:rsidRDefault="00BE53E1" w:rsidP="003A3EF3">
      <w:pPr>
        <w:rPr>
          <w:rFonts w:ascii="Book Antiqua" w:eastAsia="Calibri" w:hAnsi="Book Antiqua" w:cs="Times New Roman"/>
        </w:rPr>
      </w:pPr>
      <w:r w:rsidRPr="00354AC4">
        <w:rPr>
          <w:rFonts w:ascii="Book Antiqua" w:eastAsia="Calibri" w:hAnsi="Book Antiqua" w:cs="Times New Roman"/>
          <w:highlight w:val="yellow"/>
        </w:rPr>
        <w:t>RIA Firm Name</w:t>
      </w:r>
      <w:r w:rsidRPr="00354AC4">
        <w:rPr>
          <w:rFonts w:ascii="Book Antiqua" w:eastAsia="Calibri" w:hAnsi="Book Antiqua" w:cs="Times New Roman"/>
        </w:rPr>
        <w:t xml:space="preserve"> is a registered investment adviser located in [</w:t>
      </w:r>
      <w:r w:rsidRPr="00354AC4">
        <w:rPr>
          <w:rFonts w:ascii="Book Antiqua" w:eastAsia="Calibri" w:hAnsi="Book Antiqua" w:cs="Times New Roman"/>
          <w:highlight w:val="yellow"/>
        </w:rPr>
        <w:t>insert city and state</w:t>
      </w:r>
      <w:r w:rsidRPr="00354AC4">
        <w:rPr>
          <w:rFonts w:ascii="Book Antiqua" w:eastAsia="Calibri" w:hAnsi="Book Antiqua" w:cs="Times New Roman"/>
        </w:rPr>
        <w:t xml:space="preserve">]. </w:t>
      </w:r>
      <w:r w:rsidRPr="00354AC4">
        <w:rPr>
          <w:rFonts w:ascii="Book Antiqua" w:eastAsia="Calibri" w:hAnsi="Book Antiqua" w:cs="Times New Roman"/>
          <w:highlight w:val="yellow"/>
        </w:rPr>
        <w:t>RIA Firm Name</w:t>
      </w:r>
      <w:r w:rsidRPr="00354AC4">
        <w:rPr>
          <w:rFonts w:ascii="Book Antiqua" w:eastAsia="Calibri" w:hAnsi="Book Antiqua" w:cs="Times New Roman"/>
        </w:rPr>
        <w:t xml:space="preserve"> may only transact business in those states in which it is </w:t>
      </w:r>
      <w:proofErr w:type="gramStart"/>
      <w:r w:rsidRPr="00354AC4">
        <w:rPr>
          <w:rFonts w:ascii="Book Antiqua" w:eastAsia="Calibri" w:hAnsi="Book Antiqua" w:cs="Times New Roman"/>
        </w:rPr>
        <w:t>registered, or</w:t>
      </w:r>
      <w:proofErr w:type="gramEnd"/>
      <w:r w:rsidRPr="00354AC4">
        <w:rPr>
          <w:rFonts w:ascii="Book Antiqua" w:eastAsia="Calibri" w:hAnsi="Book Antiqua" w:cs="Times New Roman"/>
        </w:rPr>
        <w:t xml:space="preserve"> qualifies for an exemption or exclusion from registration requirements. </w:t>
      </w:r>
      <w:r w:rsidRPr="00354AC4">
        <w:rPr>
          <w:rFonts w:ascii="Book Antiqua" w:eastAsia="Calibri" w:hAnsi="Book Antiqua" w:cs="Times New Roman"/>
          <w:highlight w:val="yellow"/>
        </w:rPr>
        <w:t>RIA Firm Name</w:t>
      </w:r>
      <w:r w:rsidRPr="00354AC4">
        <w:rPr>
          <w:rFonts w:ascii="Book Antiqua" w:eastAsia="Calibri" w:hAnsi="Book Antiqua" w:cs="Times New Roman"/>
        </w:rPr>
        <w:t xml:space="preserve">’s web site is limited to the dissemination of general information pertaining to its advisory services, together with access to additional investment-related information, publications, and links. Accordingly, the publication of </w:t>
      </w:r>
      <w:r w:rsidRPr="00354AC4">
        <w:rPr>
          <w:rFonts w:ascii="Book Antiqua" w:eastAsia="Calibri" w:hAnsi="Book Antiqua" w:cs="Times New Roman"/>
          <w:highlight w:val="yellow"/>
        </w:rPr>
        <w:t>RIA Firm Name</w:t>
      </w:r>
      <w:r w:rsidRPr="00354AC4">
        <w:rPr>
          <w:rFonts w:ascii="Book Antiqua" w:eastAsia="Calibri" w:hAnsi="Book Antiqua" w:cs="Times New Roman"/>
        </w:rPr>
        <w:t xml:space="preserve">’s web site on the Internet should not be construed by any consumer and/or prospective client as </w:t>
      </w:r>
      <w:r w:rsidRPr="00354AC4">
        <w:rPr>
          <w:rFonts w:ascii="Book Antiqua" w:eastAsia="Calibri" w:hAnsi="Book Antiqua" w:cs="Times New Roman"/>
          <w:highlight w:val="yellow"/>
        </w:rPr>
        <w:t>RIA Firm Name</w:t>
      </w:r>
      <w:r w:rsidRPr="00354AC4">
        <w:rPr>
          <w:rFonts w:ascii="Book Antiqua" w:eastAsia="Calibri" w:hAnsi="Book Antiqua" w:cs="Times New Roman"/>
        </w:rPr>
        <w:t xml:space="preserve">’s solicitation to effect, or attempt to effect transactions in securities, or the rendering of personalized investment advice for compensation, over the Internet. Any subsequent, direct communication by </w:t>
      </w:r>
      <w:r w:rsidRPr="00354AC4">
        <w:rPr>
          <w:rFonts w:ascii="Book Antiqua" w:eastAsia="Calibri" w:hAnsi="Book Antiqua" w:cs="Times New Roman"/>
          <w:highlight w:val="yellow"/>
        </w:rPr>
        <w:t>RIA Firm Name</w:t>
      </w:r>
      <w:r w:rsidRPr="00354AC4">
        <w:rPr>
          <w:rFonts w:ascii="Book Antiqua" w:eastAsia="Calibri" w:hAnsi="Book Antiqua" w:cs="Times New Roman"/>
        </w:rPr>
        <w:t xml:space="preserve"> with a prospective client shall be conducted by a representative that is either registered or qualifies for an exemption or exclusion from registration in the state where the prospective </w:t>
      </w:r>
      <w:r w:rsidRPr="00354AC4">
        <w:rPr>
          <w:rFonts w:ascii="Book Antiqua" w:eastAsia="Calibri" w:hAnsi="Book Antiqua" w:cs="Times New Roman"/>
        </w:rPr>
        <w:lastRenderedPageBreak/>
        <w:t xml:space="preserve">client resides. For information pertaining to the registration status of </w:t>
      </w:r>
      <w:r w:rsidRPr="00354AC4">
        <w:rPr>
          <w:rFonts w:ascii="Book Antiqua" w:eastAsia="Calibri" w:hAnsi="Book Antiqua" w:cs="Times New Roman"/>
          <w:highlight w:val="yellow"/>
        </w:rPr>
        <w:t>RIA Firm Name</w:t>
      </w:r>
      <w:r w:rsidRPr="00354AC4">
        <w:rPr>
          <w:rFonts w:ascii="Book Antiqua" w:eastAsia="Calibri" w:hAnsi="Book Antiqua" w:cs="Times New Roman"/>
        </w:rPr>
        <w:t xml:space="preserve">, please contact the state securities regulators for those states in which </w:t>
      </w:r>
      <w:r w:rsidRPr="00354AC4">
        <w:rPr>
          <w:rFonts w:ascii="Book Antiqua" w:eastAsia="Calibri" w:hAnsi="Book Antiqua" w:cs="Times New Roman"/>
          <w:highlight w:val="yellow"/>
        </w:rPr>
        <w:t>RIA Firm Name</w:t>
      </w:r>
      <w:r w:rsidRPr="00354AC4">
        <w:rPr>
          <w:rFonts w:ascii="Book Antiqua" w:eastAsia="Calibri" w:hAnsi="Book Antiqua" w:cs="Times New Roman"/>
        </w:rPr>
        <w:t xml:space="preserve"> maintains a registration filing. A copy of </w:t>
      </w:r>
      <w:r w:rsidRPr="00354AC4">
        <w:rPr>
          <w:rFonts w:ascii="Book Antiqua" w:eastAsia="Calibri" w:hAnsi="Book Antiqua" w:cs="Times New Roman"/>
          <w:highlight w:val="yellow"/>
        </w:rPr>
        <w:t>RIA Firm Name</w:t>
      </w:r>
      <w:r w:rsidRPr="00354AC4">
        <w:rPr>
          <w:rFonts w:ascii="Book Antiqua" w:eastAsia="Calibri" w:hAnsi="Book Antiqua" w:cs="Times New Roman"/>
        </w:rPr>
        <w:t xml:space="preserve">’s current written disclosure statement discussing </w:t>
      </w:r>
      <w:r w:rsidRPr="00354AC4">
        <w:rPr>
          <w:rFonts w:ascii="Book Antiqua" w:eastAsia="Calibri" w:hAnsi="Book Antiqua" w:cs="Times New Roman"/>
          <w:highlight w:val="yellow"/>
        </w:rPr>
        <w:t>RIA Firm Name</w:t>
      </w:r>
      <w:r w:rsidRPr="00354AC4">
        <w:rPr>
          <w:rFonts w:ascii="Book Antiqua" w:eastAsia="Calibri" w:hAnsi="Book Antiqua" w:cs="Times New Roman"/>
        </w:rPr>
        <w:t xml:space="preserve">’s business operations, services, and fees is available at the SEC’s investment adviser public information website – </w:t>
      </w:r>
      <w:hyperlink r:id="rId8" w:history="1">
        <w:r w:rsidRPr="00354AC4">
          <w:rPr>
            <w:rFonts w:ascii="Book Antiqua" w:eastAsia="Calibri" w:hAnsi="Book Antiqua" w:cs="Times New Roman"/>
          </w:rPr>
          <w:t>www.adviserinfo.sec.gov</w:t>
        </w:r>
      </w:hyperlink>
      <w:r w:rsidRPr="00354AC4">
        <w:rPr>
          <w:rFonts w:ascii="Book Antiqua" w:eastAsia="Calibri" w:hAnsi="Book Antiqua" w:cs="Times New Roman"/>
        </w:rPr>
        <w:t xml:space="preserve"> or from </w:t>
      </w:r>
      <w:r w:rsidRPr="00354AC4">
        <w:rPr>
          <w:rFonts w:ascii="Book Antiqua" w:eastAsia="Calibri" w:hAnsi="Book Antiqua" w:cs="Times New Roman"/>
          <w:highlight w:val="yellow"/>
        </w:rPr>
        <w:t>RIA Firm Name</w:t>
      </w:r>
      <w:r w:rsidRPr="00354AC4">
        <w:rPr>
          <w:rFonts w:ascii="Book Antiqua" w:eastAsia="Calibri" w:hAnsi="Book Antiqua" w:cs="Times New Roman"/>
        </w:rPr>
        <w:t xml:space="preserve"> upon written request. </w:t>
      </w:r>
      <w:r w:rsidRPr="00354AC4">
        <w:rPr>
          <w:rFonts w:ascii="Book Antiqua" w:eastAsia="Calibri" w:hAnsi="Book Antiqua" w:cs="Times New Roman"/>
          <w:highlight w:val="yellow"/>
        </w:rPr>
        <w:t>RIA Firm Name</w:t>
      </w:r>
      <w:r w:rsidRPr="00354AC4">
        <w:rPr>
          <w:rFonts w:ascii="Book Antiqua" w:eastAsia="Calibri" w:hAnsi="Book Antiqua" w:cs="Times New Roman"/>
        </w:rPr>
        <w:t xml:space="preserve"> does not make any representations or warranties as to the accuracy, timeliness, suitability, completeness, or relevance of any information prepared by any unaffiliated third party, whether linked to </w:t>
      </w:r>
      <w:r w:rsidRPr="00354AC4">
        <w:rPr>
          <w:rFonts w:ascii="Book Antiqua" w:eastAsia="Calibri" w:hAnsi="Book Antiqua" w:cs="Times New Roman"/>
          <w:highlight w:val="yellow"/>
        </w:rPr>
        <w:t>RIA Firm Name</w:t>
      </w:r>
      <w:r w:rsidRPr="00354AC4">
        <w:rPr>
          <w:rFonts w:ascii="Book Antiqua" w:eastAsia="Calibri" w:hAnsi="Book Antiqua" w:cs="Times New Roman"/>
        </w:rPr>
        <w:t xml:space="preserve">’s web site or incorporated </w:t>
      </w:r>
      <w:proofErr w:type="gramStart"/>
      <w:r w:rsidRPr="00354AC4">
        <w:rPr>
          <w:rFonts w:ascii="Book Antiqua" w:eastAsia="Calibri" w:hAnsi="Book Antiqua" w:cs="Times New Roman"/>
        </w:rPr>
        <w:t>herein, and</w:t>
      </w:r>
      <w:proofErr w:type="gramEnd"/>
      <w:r w:rsidRPr="00354AC4">
        <w:rPr>
          <w:rFonts w:ascii="Book Antiqua" w:eastAsia="Calibri" w:hAnsi="Book Antiqua" w:cs="Times New Roman"/>
        </w:rPr>
        <w:t xml:space="preserve"> takes no responsibility therefor. All such information is provided solely for convenience purposes only and all users thereof should be guided accordingly.</w:t>
      </w:r>
    </w:p>
    <w:p w14:paraId="7E86E0BF" w14:textId="77777777" w:rsidR="00864AE4" w:rsidRPr="00354AC4" w:rsidRDefault="00864AE4" w:rsidP="003A3EF3">
      <w:pPr>
        <w:rPr>
          <w:rFonts w:ascii="Book Antiqua" w:eastAsia="Calibri" w:hAnsi="Book Antiqua" w:cs="Times New Roman"/>
        </w:rPr>
      </w:pPr>
      <w:r w:rsidRPr="00354AC4">
        <w:rPr>
          <w:rFonts w:ascii="Book Antiqua" w:eastAsia="Calibri" w:hAnsi="Book Antiqua" w:cs="Times New Roman"/>
        </w:rPr>
        <w:t>This website and information are provided for guidance and informati</w:t>
      </w:r>
      <w:r w:rsidR="003A3EF3" w:rsidRPr="00354AC4">
        <w:rPr>
          <w:rFonts w:ascii="Book Antiqua" w:eastAsia="Calibri" w:hAnsi="Book Antiqua" w:cs="Times New Roman"/>
        </w:rPr>
        <w:t xml:space="preserve">on purposes only.  Investments involve risk and unless otherwise stated, are not guaranteed.  Be sure to first consult with a qualified financial adviser and/or tax professional before implementing any strategy.  </w:t>
      </w:r>
      <w:r w:rsidRPr="00354AC4">
        <w:rPr>
          <w:rFonts w:ascii="Book Antiqua" w:eastAsia="Calibri" w:hAnsi="Book Antiqua" w:cs="Times New Roman"/>
        </w:rPr>
        <w:t>This website and information are not intended to provide investment, tax, or legal advice.</w:t>
      </w:r>
    </w:p>
    <w:p w14:paraId="176907D5" w14:textId="77777777" w:rsidR="00E0583A" w:rsidRPr="00354AC4" w:rsidRDefault="00E0583A" w:rsidP="003A3EF3">
      <w:pPr>
        <w:rPr>
          <w:rFonts w:ascii="Book Antiqua" w:eastAsia="Calibri" w:hAnsi="Book Antiqua" w:cs="Times New Roman"/>
        </w:rPr>
      </w:pPr>
      <w:r w:rsidRPr="001A67F6">
        <w:rPr>
          <w:rFonts w:ascii="Book Antiqua" w:eastAsia="Calibri" w:hAnsi="Book Antiqua" w:cs="Times New Roman"/>
          <w:color w:val="FF0000"/>
        </w:rPr>
        <w:t xml:space="preserve">[OPTIONAL] </w:t>
      </w:r>
      <w:r w:rsidRPr="00354AC4">
        <w:rPr>
          <w:rFonts w:ascii="Book Antiqua" w:eastAsia="Calibri" w:hAnsi="Book Antiqua" w:cs="Times New Roman"/>
        </w:rPr>
        <w:t>Insurance products and services are offered and sold through [</w:t>
      </w:r>
      <w:r w:rsidRPr="008D1729">
        <w:rPr>
          <w:rFonts w:ascii="Book Antiqua" w:eastAsia="Calibri" w:hAnsi="Book Antiqua" w:cs="Times New Roman"/>
          <w:highlight w:val="yellow"/>
        </w:rPr>
        <w:t>insurance firm name</w:t>
      </w:r>
      <w:r w:rsidRPr="00354AC4">
        <w:rPr>
          <w:rFonts w:ascii="Book Antiqua" w:eastAsia="Calibri" w:hAnsi="Book Antiqua" w:cs="Times New Roman"/>
        </w:rPr>
        <w:t>] and individually licensed and appointed insurance agents.</w:t>
      </w:r>
    </w:p>
    <w:sectPr w:rsidR="00E0583A" w:rsidRPr="00354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DCB7D" w14:textId="77777777" w:rsidR="001A67F6" w:rsidRDefault="001A67F6" w:rsidP="001A67F6">
      <w:pPr>
        <w:spacing w:after="0" w:line="240" w:lineRule="auto"/>
      </w:pPr>
      <w:r>
        <w:separator/>
      </w:r>
    </w:p>
  </w:endnote>
  <w:endnote w:type="continuationSeparator" w:id="0">
    <w:p w14:paraId="40B08B80" w14:textId="77777777" w:rsidR="001A67F6" w:rsidRDefault="001A67F6" w:rsidP="001A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E11BE" w14:textId="77777777" w:rsidR="001A67F6" w:rsidRDefault="001A67F6" w:rsidP="001A67F6">
      <w:pPr>
        <w:spacing w:after="0" w:line="240" w:lineRule="auto"/>
      </w:pPr>
      <w:r>
        <w:separator/>
      </w:r>
    </w:p>
  </w:footnote>
  <w:footnote w:type="continuationSeparator" w:id="0">
    <w:p w14:paraId="57770EE0" w14:textId="77777777" w:rsidR="001A67F6" w:rsidRDefault="001A67F6" w:rsidP="001A6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AE4"/>
    <w:rsid w:val="00101BA5"/>
    <w:rsid w:val="00160238"/>
    <w:rsid w:val="001A67F6"/>
    <w:rsid w:val="001B7874"/>
    <w:rsid w:val="00202BFE"/>
    <w:rsid w:val="00215968"/>
    <w:rsid w:val="00235AA3"/>
    <w:rsid w:val="00354AC4"/>
    <w:rsid w:val="003A3EF3"/>
    <w:rsid w:val="00420963"/>
    <w:rsid w:val="005A3FE3"/>
    <w:rsid w:val="006551B9"/>
    <w:rsid w:val="007E6B8A"/>
    <w:rsid w:val="00864AE4"/>
    <w:rsid w:val="008D1729"/>
    <w:rsid w:val="00BE53E1"/>
    <w:rsid w:val="00E0583A"/>
    <w:rsid w:val="00E05952"/>
    <w:rsid w:val="00E8096B"/>
    <w:rsid w:val="00FD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1D43A"/>
  <w15:docId w15:val="{DF7318A2-E558-4138-8AAD-A5E9EBAA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17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7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2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DefaultParagraphFont"/>
    <w:rsid w:val="00160238"/>
  </w:style>
  <w:style w:type="paragraph" w:styleId="NormalWeb">
    <w:name w:val="Normal (Web)"/>
    <w:basedOn w:val="Normal"/>
    <w:uiPriority w:val="99"/>
    <w:semiHidden/>
    <w:unhideWhenUsed/>
    <w:rsid w:val="00BE5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3E1"/>
    <w:rPr>
      <w:color w:val="0000FF" w:themeColor="hyperlink"/>
      <w:u w:val="single"/>
    </w:rPr>
  </w:style>
  <w:style w:type="paragraph" w:customStyle="1" w:styleId="disclaimer">
    <w:name w:val="disclaimer"/>
    <w:basedOn w:val="Normal"/>
    <w:rsid w:val="0065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51B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D17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8D17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A6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7F6"/>
  </w:style>
  <w:style w:type="paragraph" w:styleId="Footer">
    <w:name w:val="footer"/>
    <w:basedOn w:val="Normal"/>
    <w:link w:val="FooterChar"/>
    <w:uiPriority w:val="99"/>
    <w:unhideWhenUsed/>
    <w:rsid w:val="001A6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viserinfo.sec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AE1F-270C-46E8-9063-F48471A9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J. Thomas</dc:creator>
  <cp:lastModifiedBy>Ben South</cp:lastModifiedBy>
  <cp:revision>2</cp:revision>
  <dcterms:created xsi:type="dcterms:W3CDTF">2019-12-04T16:26:00Z</dcterms:created>
  <dcterms:modified xsi:type="dcterms:W3CDTF">2019-12-04T16:26:00Z</dcterms:modified>
</cp:coreProperties>
</file>